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5F1B">
        <w:rPr>
          <w:rFonts w:ascii="MS Shell Dlg 2" w:hAnsi="MS Shell Dlg 2" w:cs="MS Shell Dlg 2"/>
          <w:noProof/>
          <w:sz w:val="40"/>
          <w:szCs w:val="40"/>
          <w:u w:val="single"/>
        </w:rPr>
        <w:t>Dens</w:t>
      </w:r>
      <w:r w:rsidR="000176E2">
        <w:rPr>
          <w:rFonts w:ascii="MS Shell Dlg 2" w:hAnsi="MS Shell Dlg 2" w:cs="MS Shell Dlg 2"/>
          <w:noProof/>
          <w:sz w:val="40"/>
          <w:szCs w:val="40"/>
          <w:u w:val="single"/>
        </w:rPr>
        <w:t>ité</w:t>
      </w:r>
      <w:r w:rsidR="00513B6C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du </w:t>
      </w:r>
      <w:r w:rsidR="002A6545">
        <w:rPr>
          <w:rFonts w:ascii="MS Shell Dlg 2" w:hAnsi="MS Shell Dlg 2" w:cs="MS Shell Dlg 2"/>
          <w:noProof/>
          <w:sz w:val="40"/>
          <w:szCs w:val="40"/>
          <w:u w:val="single"/>
        </w:rPr>
        <w:t>gravillon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2A6545" w:rsidRDefault="002A6545" w:rsidP="002A6545">
      <w:r>
        <w:t xml:space="preserve">Dans le cadre d’une composition pondérale, il est nécessaire de connaitre la densité du gravillon. Il s’agit d’une densité sèche, </w:t>
      </w:r>
      <w:r w:rsidR="003F582D">
        <w:t>c.à.d.</w:t>
      </w:r>
      <w:bookmarkStart w:id="0" w:name="_GoBack"/>
      <w:bookmarkEnd w:id="0"/>
      <w:r>
        <w:t xml:space="preserve"> avec un gravillon sans teneur en eau.</w:t>
      </w:r>
    </w:p>
    <w:p w:rsidR="002A6545" w:rsidRDefault="002A6545" w:rsidP="002A6545">
      <w:r>
        <w:t>Celle-ci s’exprime en tonne par m3 ou en kg/l. C’est équivalent car 1m3=1000L et 1 tonne = 1000 kg.</w:t>
      </w:r>
    </w:p>
    <w:p w:rsidR="002A6545" w:rsidRDefault="002A6545" w:rsidP="002A6545">
      <w:r>
        <w:t>La densité figure sur la fiche technique du gravillon fournie par le producteur de granulat.</w:t>
      </w:r>
    </w:p>
    <w:p w:rsidR="00E23177" w:rsidRDefault="00E23177" w:rsidP="002A6545">
      <w:r>
        <w:t>Il s’agit d’un granulat courant suivant la définition de l’EN206-1 ce qui implique une masse volumique &gt;2000kg/m</w:t>
      </w:r>
      <w:r w:rsidRPr="00BC01A5">
        <w:rPr>
          <w:vertAlign w:val="superscript"/>
        </w:rPr>
        <w:t>3</w:t>
      </w:r>
      <w:r>
        <w:t xml:space="preserve"> et &lt;3000kg/m</w:t>
      </w:r>
      <w:r w:rsidRPr="00BC01A5">
        <w:rPr>
          <w:vertAlign w:val="superscript"/>
        </w:rPr>
        <w:t>3</w:t>
      </w:r>
      <w:r>
        <w:t xml:space="preserve"> déterminée selon l’EN 1097-6.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513B6C">
        <w:t>16 novembre</w:t>
      </w:r>
      <w:r w:rsidR="00C163E6">
        <w:t xml:space="preserve"> </w:t>
      </w:r>
      <w:r w:rsidR="00BD179B">
        <w:t>202</w:t>
      </w:r>
      <w:r w:rsidR="00C163E6">
        <w:t>5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360319"/>
    <w:multiLevelType w:val="hybridMultilevel"/>
    <w:tmpl w:val="1A7425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12"/>
  </w:num>
  <w:num w:numId="9">
    <w:abstractNumId w:val="4"/>
  </w:num>
  <w:num w:numId="10">
    <w:abstractNumId w:val="8"/>
  </w:num>
  <w:num w:numId="11">
    <w:abstractNumId w:val="9"/>
  </w:num>
  <w:num w:numId="12">
    <w:abstractNumId w:val="11"/>
  </w:num>
  <w:num w:numId="13">
    <w:abstractNumId w:val="13"/>
  </w:num>
  <w:num w:numId="14">
    <w:abstractNumId w:val="14"/>
  </w:num>
  <w:num w:numId="15">
    <w:abstractNumId w:val="15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176E2"/>
    <w:rsid w:val="00025571"/>
    <w:rsid w:val="00033C0C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A6545"/>
    <w:rsid w:val="002F0BE2"/>
    <w:rsid w:val="00356AC9"/>
    <w:rsid w:val="003F582D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85F1B"/>
    <w:rsid w:val="00AA0DED"/>
    <w:rsid w:val="00AC4C8B"/>
    <w:rsid w:val="00AC795F"/>
    <w:rsid w:val="00B14982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E23177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ienhypertexte">
    <w:name w:val="Hyperlink"/>
    <w:basedOn w:val="Policepardfaut"/>
    <w:uiPriority w:val="99"/>
    <w:rsid w:val="000176E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7</cp:revision>
  <dcterms:created xsi:type="dcterms:W3CDTF">2025-11-16T14:41:00Z</dcterms:created>
  <dcterms:modified xsi:type="dcterms:W3CDTF">2026-06-23T06:47:00Z</dcterms:modified>
</cp:coreProperties>
</file>